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FB" w:rsidRDefault="00DD65FB"/>
    <w:p w:rsidR="00DD65FB" w:rsidRDefault="00DD65FB" w:rsidP="00C02C95">
      <w:pPr>
        <w:ind w:left="993" w:firstLine="425"/>
      </w:pPr>
      <w:r>
        <w:t xml:space="preserve">                           De l'intérêt des statistiques en matière de logements !</w:t>
      </w:r>
      <w:r w:rsidRPr="00AC70B4">
        <w:t>.</w:t>
      </w:r>
    </w:p>
    <w:p w:rsidR="00DD65FB" w:rsidRPr="00AC70B4" w:rsidRDefault="00DD65FB" w:rsidP="00C02C95">
      <w:pPr>
        <w:ind w:left="993" w:firstLine="425"/>
      </w:pPr>
    </w:p>
    <w:p w:rsidR="00DD65FB" w:rsidRDefault="00DD65FB" w:rsidP="00E34D11">
      <w:pPr>
        <w:ind w:firstLine="0"/>
        <w:rPr>
          <w:sz w:val="28"/>
          <w:szCs w:val="28"/>
        </w:rPr>
      </w:pPr>
    </w:p>
    <w:p w:rsidR="00DD65FB" w:rsidRDefault="00DD65FB" w:rsidP="00E34D11">
      <w:pPr>
        <w:ind w:firstLine="0"/>
        <w:rPr>
          <w:sz w:val="28"/>
          <w:szCs w:val="28"/>
        </w:rPr>
      </w:pPr>
    </w:p>
    <w:p w:rsidR="00DD65FB" w:rsidRDefault="00DD65FB" w:rsidP="00E34D1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E29D0">
        <w:rPr>
          <w:sz w:val="28"/>
          <w:szCs w:val="28"/>
        </w:rPr>
        <w:t xml:space="preserve">Selon les dernières statistiques INSEE disponibles (celles de 2013, publiées au printemps 2016 ) le nombre de logements HLM en France métropolitaine, </w:t>
      </w:r>
    </w:p>
    <w:p w:rsidR="00DD65FB" w:rsidRDefault="00DD65FB" w:rsidP="00E34D1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E29D0">
        <w:rPr>
          <w:sz w:val="28"/>
          <w:szCs w:val="28"/>
        </w:rPr>
        <w:t xml:space="preserve">tous types confondus (collectifs, individuels et divers), est de 4.064.988 en 2013 alors qu’il était de 3.878.472 en 2006. Soit une augmentation du stock </w:t>
      </w:r>
      <w:r>
        <w:rPr>
          <w:sz w:val="28"/>
          <w:szCs w:val="28"/>
        </w:rPr>
        <w:t xml:space="preserve">de </w:t>
      </w:r>
    </w:p>
    <w:p w:rsidR="00DD65FB" w:rsidRDefault="00DD65FB" w:rsidP="00E34D1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186.516 </w:t>
      </w:r>
      <w:r w:rsidRPr="008E29D0">
        <w:rPr>
          <w:sz w:val="28"/>
          <w:szCs w:val="28"/>
        </w:rPr>
        <w:t>logements HLM en 7 ans.</w:t>
      </w:r>
      <w:r>
        <w:rPr>
          <w:sz w:val="28"/>
          <w:szCs w:val="28"/>
        </w:rPr>
        <w:t>..</w:t>
      </w:r>
    </w:p>
    <w:p w:rsidR="00DD65FB" w:rsidRDefault="00DD65FB" w:rsidP="00AE118D">
      <w:pPr>
        <w:ind w:left="426"/>
        <w:rPr>
          <w:sz w:val="28"/>
          <w:szCs w:val="28"/>
        </w:rPr>
      </w:pPr>
    </w:p>
    <w:tbl>
      <w:tblPr>
        <w:tblW w:w="0" w:type="auto"/>
        <w:tblInd w:w="10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32"/>
        <w:gridCol w:w="1575"/>
        <w:gridCol w:w="1701"/>
        <w:gridCol w:w="1373"/>
      </w:tblGrid>
      <w:tr w:rsidR="00DD65FB" w:rsidRPr="00377750" w:rsidTr="00BF4BA0">
        <w:trPr>
          <w:trHeight w:val="348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DD65FB" w:rsidRPr="00377750" w:rsidRDefault="00DD65FB" w:rsidP="00BF4BA0">
            <w:pPr>
              <w:autoSpaceDE w:val="0"/>
              <w:autoSpaceDN w:val="0"/>
              <w:adjustRightInd w:val="0"/>
              <w:ind w:left="821" w:hanging="821"/>
              <w:jc w:val="right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DD65FB" w:rsidRPr="00377750" w:rsidRDefault="00DD65FB" w:rsidP="00BF4BA0">
            <w:pPr>
              <w:autoSpaceDE w:val="0"/>
              <w:autoSpaceDN w:val="0"/>
              <w:adjustRightInd w:val="0"/>
              <w:ind w:left="821" w:hanging="821"/>
              <w:jc w:val="center"/>
              <w:rPr>
                <w:b/>
                <w:bCs/>
                <w:sz w:val="28"/>
                <w:szCs w:val="28"/>
              </w:rPr>
            </w:pPr>
            <w:r w:rsidRPr="00377750">
              <w:rPr>
                <w:b/>
                <w:bCs/>
                <w:sz w:val="28"/>
                <w:szCs w:val="28"/>
              </w:rPr>
              <w:t>Avec asc,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D65FB" w:rsidRPr="00377750" w:rsidRDefault="00DD65FB" w:rsidP="00BF4BA0">
            <w:pPr>
              <w:autoSpaceDE w:val="0"/>
              <w:autoSpaceDN w:val="0"/>
              <w:adjustRightInd w:val="0"/>
              <w:ind w:left="821" w:hanging="821"/>
              <w:jc w:val="center"/>
              <w:rPr>
                <w:b/>
                <w:bCs/>
                <w:sz w:val="28"/>
                <w:szCs w:val="28"/>
              </w:rPr>
            </w:pPr>
            <w:r w:rsidRPr="00377750">
              <w:rPr>
                <w:b/>
                <w:bCs/>
                <w:sz w:val="28"/>
                <w:szCs w:val="28"/>
              </w:rPr>
              <w:t>Sans asc,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DD65FB" w:rsidRPr="00377750" w:rsidRDefault="00DD65FB" w:rsidP="00BF4BA0">
            <w:pPr>
              <w:autoSpaceDE w:val="0"/>
              <w:autoSpaceDN w:val="0"/>
              <w:adjustRightInd w:val="0"/>
              <w:ind w:left="821" w:hanging="821"/>
              <w:jc w:val="center"/>
              <w:rPr>
                <w:b/>
                <w:bCs/>
                <w:sz w:val="28"/>
                <w:szCs w:val="28"/>
              </w:rPr>
            </w:pPr>
            <w:r w:rsidRPr="00377750">
              <w:rPr>
                <w:b/>
                <w:bCs/>
                <w:sz w:val="28"/>
                <w:szCs w:val="28"/>
              </w:rPr>
              <w:t>Total</w:t>
            </w:r>
          </w:p>
        </w:tc>
      </w:tr>
      <w:tr w:rsidR="00DD65FB" w:rsidRPr="00377750" w:rsidTr="00BF4BA0">
        <w:trPr>
          <w:trHeight w:val="348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DD65FB" w:rsidRPr="00377750" w:rsidRDefault="00DD65FB" w:rsidP="00BF4BA0">
            <w:pPr>
              <w:autoSpaceDE w:val="0"/>
              <w:autoSpaceDN w:val="0"/>
              <w:adjustRightInd w:val="0"/>
              <w:ind w:left="821" w:hanging="821"/>
              <w:jc w:val="right"/>
              <w:rPr>
                <w:b/>
                <w:bCs/>
                <w:sz w:val="28"/>
                <w:szCs w:val="28"/>
              </w:rPr>
            </w:pPr>
            <w:r w:rsidRPr="00377750">
              <w:rPr>
                <w:b/>
                <w:bCs/>
                <w:sz w:val="28"/>
                <w:szCs w:val="28"/>
              </w:rPr>
              <w:t>Stock HLM 2006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DD65FB" w:rsidRPr="00377750" w:rsidRDefault="00DD65FB" w:rsidP="00BF4BA0">
            <w:pPr>
              <w:autoSpaceDE w:val="0"/>
              <w:autoSpaceDN w:val="0"/>
              <w:adjustRightInd w:val="0"/>
              <w:ind w:left="821" w:hanging="821"/>
              <w:jc w:val="right"/>
              <w:rPr>
                <w:sz w:val="28"/>
                <w:szCs w:val="28"/>
              </w:rPr>
            </w:pPr>
            <w:r w:rsidRPr="00377750">
              <w:rPr>
                <w:sz w:val="28"/>
                <w:szCs w:val="28"/>
              </w:rPr>
              <w:t>1408274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D65FB" w:rsidRPr="00377750" w:rsidRDefault="00DD65FB" w:rsidP="00BF4BA0">
            <w:pPr>
              <w:autoSpaceDE w:val="0"/>
              <w:autoSpaceDN w:val="0"/>
              <w:adjustRightInd w:val="0"/>
              <w:ind w:left="821" w:hanging="821"/>
              <w:jc w:val="right"/>
              <w:rPr>
                <w:sz w:val="28"/>
                <w:szCs w:val="28"/>
              </w:rPr>
            </w:pPr>
            <w:r w:rsidRPr="00377750">
              <w:rPr>
                <w:sz w:val="28"/>
                <w:szCs w:val="28"/>
              </w:rPr>
              <w:t>2470198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DD65FB" w:rsidRPr="00377750" w:rsidRDefault="00DD65FB" w:rsidP="00BF4BA0">
            <w:pPr>
              <w:autoSpaceDE w:val="0"/>
              <w:autoSpaceDN w:val="0"/>
              <w:adjustRightInd w:val="0"/>
              <w:ind w:left="821" w:hanging="821"/>
              <w:jc w:val="right"/>
              <w:rPr>
                <w:sz w:val="28"/>
                <w:szCs w:val="28"/>
              </w:rPr>
            </w:pPr>
            <w:r w:rsidRPr="00377750">
              <w:rPr>
                <w:sz w:val="28"/>
                <w:szCs w:val="28"/>
              </w:rPr>
              <w:t>3878472</w:t>
            </w:r>
          </w:p>
        </w:tc>
      </w:tr>
      <w:tr w:rsidR="00DD65FB" w:rsidRPr="00377750" w:rsidTr="00BF4BA0">
        <w:trPr>
          <w:trHeight w:val="348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DD65FB" w:rsidRPr="00377750" w:rsidRDefault="00DD65FB" w:rsidP="00BF4BA0">
            <w:pPr>
              <w:autoSpaceDE w:val="0"/>
              <w:autoSpaceDN w:val="0"/>
              <w:adjustRightInd w:val="0"/>
              <w:ind w:left="821" w:hanging="821"/>
              <w:jc w:val="right"/>
              <w:rPr>
                <w:b/>
                <w:bCs/>
                <w:sz w:val="28"/>
                <w:szCs w:val="28"/>
              </w:rPr>
            </w:pPr>
            <w:r w:rsidRPr="00377750">
              <w:rPr>
                <w:b/>
                <w:bCs/>
                <w:sz w:val="28"/>
                <w:szCs w:val="28"/>
              </w:rPr>
              <w:t>Stock HLM 2013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DD65FB" w:rsidRPr="00377750" w:rsidRDefault="00DD65FB" w:rsidP="00BF4BA0">
            <w:pPr>
              <w:autoSpaceDE w:val="0"/>
              <w:autoSpaceDN w:val="0"/>
              <w:adjustRightInd w:val="0"/>
              <w:ind w:left="821" w:hanging="821"/>
              <w:jc w:val="right"/>
              <w:rPr>
                <w:sz w:val="28"/>
                <w:szCs w:val="28"/>
              </w:rPr>
            </w:pPr>
            <w:r w:rsidRPr="00377750">
              <w:rPr>
                <w:sz w:val="28"/>
                <w:szCs w:val="28"/>
              </w:rPr>
              <w:t>1478680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D65FB" w:rsidRPr="00377750" w:rsidRDefault="00DD65FB" w:rsidP="00BF4BA0">
            <w:pPr>
              <w:autoSpaceDE w:val="0"/>
              <w:autoSpaceDN w:val="0"/>
              <w:adjustRightInd w:val="0"/>
              <w:ind w:left="821" w:hanging="821"/>
              <w:jc w:val="right"/>
              <w:rPr>
                <w:sz w:val="28"/>
                <w:szCs w:val="28"/>
              </w:rPr>
            </w:pPr>
            <w:r w:rsidRPr="00377750">
              <w:rPr>
                <w:sz w:val="28"/>
                <w:szCs w:val="28"/>
              </w:rPr>
              <w:t>2586308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DD65FB" w:rsidRPr="00377750" w:rsidRDefault="00DD65FB" w:rsidP="00BF4BA0">
            <w:pPr>
              <w:autoSpaceDE w:val="0"/>
              <w:autoSpaceDN w:val="0"/>
              <w:adjustRightInd w:val="0"/>
              <w:ind w:left="821" w:hanging="821"/>
              <w:jc w:val="right"/>
              <w:rPr>
                <w:sz w:val="28"/>
                <w:szCs w:val="28"/>
              </w:rPr>
            </w:pPr>
            <w:r w:rsidRPr="00377750">
              <w:rPr>
                <w:sz w:val="28"/>
                <w:szCs w:val="28"/>
              </w:rPr>
              <w:t>4064988</w:t>
            </w:r>
          </w:p>
        </w:tc>
      </w:tr>
      <w:tr w:rsidR="00DD65FB" w:rsidRPr="00377750" w:rsidTr="00BF4BA0">
        <w:trPr>
          <w:trHeight w:val="348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DD65FB" w:rsidRPr="00377750" w:rsidRDefault="00DD65FB" w:rsidP="00BF4BA0">
            <w:pPr>
              <w:autoSpaceDE w:val="0"/>
              <w:autoSpaceDN w:val="0"/>
              <w:adjustRightInd w:val="0"/>
              <w:ind w:left="821" w:hanging="821"/>
              <w:jc w:val="right"/>
              <w:rPr>
                <w:b/>
                <w:bCs/>
                <w:sz w:val="28"/>
                <w:szCs w:val="28"/>
              </w:rPr>
            </w:pPr>
            <w:r w:rsidRPr="00377750">
              <w:rPr>
                <w:b/>
                <w:bCs/>
                <w:sz w:val="28"/>
                <w:szCs w:val="28"/>
              </w:rPr>
              <w:t>Evol. 2006-2013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DD65FB" w:rsidRPr="00377750" w:rsidRDefault="00DD65FB" w:rsidP="00BF4BA0">
            <w:pPr>
              <w:autoSpaceDE w:val="0"/>
              <w:autoSpaceDN w:val="0"/>
              <w:adjustRightInd w:val="0"/>
              <w:ind w:left="821" w:hanging="821"/>
              <w:jc w:val="right"/>
              <w:rPr>
                <w:sz w:val="28"/>
                <w:szCs w:val="28"/>
              </w:rPr>
            </w:pPr>
            <w:r w:rsidRPr="00377750">
              <w:rPr>
                <w:sz w:val="28"/>
                <w:szCs w:val="28"/>
              </w:rPr>
              <w:t>70406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D65FB" w:rsidRPr="00377750" w:rsidRDefault="00DD65FB" w:rsidP="00BF4BA0">
            <w:pPr>
              <w:autoSpaceDE w:val="0"/>
              <w:autoSpaceDN w:val="0"/>
              <w:adjustRightInd w:val="0"/>
              <w:ind w:left="821" w:hanging="821"/>
              <w:jc w:val="right"/>
              <w:rPr>
                <w:sz w:val="28"/>
                <w:szCs w:val="28"/>
              </w:rPr>
            </w:pPr>
            <w:r w:rsidRPr="00377750">
              <w:rPr>
                <w:sz w:val="28"/>
                <w:szCs w:val="28"/>
              </w:rPr>
              <w:t>116110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DD65FB" w:rsidRPr="00377750" w:rsidRDefault="00DD65FB" w:rsidP="00BF4BA0">
            <w:pPr>
              <w:autoSpaceDE w:val="0"/>
              <w:autoSpaceDN w:val="0"/>
              <w:adjustRightInd w:val="0"/>
              <w:ind w:left="821" w:hanging="821"/>
              <w:jc w:val="right"/>
              <w:rPr>
                <w:sz w:val="28"/>
                <w:szCs w:val="28"/>
              </w:rPr>
            </w:pPr>
            <w:r w:rsidRPr="00377750">
              <w:rPr>
                <w:sz w:val="28"/>
                <w:szCs w:val="28"/>
                <w:highlight w:val="yellow"/>
              </w:rPr>
              <w:t>186516</w:t>
            </w:r>
          </w:p>
        </w:tc>
      </w:tr>
      <w:tr w:rsidR="00DD65FB" w:rsidRPr="00377750" w:rsidTr="00BF4BA0">
        <w:trPr>
          <w:trHeight w:val="348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DD65FB" w:rsidRPr="00377750" w:rsidRDefault="00DD65FB" w:rsidP="00BF4BA0">
            <w:pPr>
              <w:autoSpaceDE w:val="0"/>
              <w:autoSpaceDN w:val="0"/>
              <w:adjustRightInd w:val="0"/>
              <w:ind w:left="821" w:hanging="821"/>
              <w:jc w:val="right"/>
              <w:rPr>
                <w:b/>
                <w:bCs/>
                <w:sz w:val="28"/>
                <w:szCs w:val="28"/>
              </w:rPr>
            </w:pPr>
            <w:r w:rsidRPr="00377750">
              <w:rPr>
                <w:b/>
                <w:bCs/>
                <w:sz w:val="28"/>
                <w:szCs w:val="28"/>
              </w:rPr>
              <w:t>Total HLM nouveaux*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DD65FB" w:rsidRPr="00377750" w:rsidRDefault="00DD65FB" w:rsidP="00BF4BA0">
            <w:pPr>
              <w:autoSpaceDE w:val="0"/>
              <w:autoSpaceDN w:val="0"/>
              <w:adjustRightInd w:val="0"/>
              <w:ind w:left="821" w:hanging="821"/>
              <w:jc w:val="right"/>
              <w:rPr>
                <w:sz w:val="28"/>
                <w:szCs w:val="28"/>
              </w:rPr>
            </w:pPr>
            <w:r w:rsidRPr="00377750">
              <w:rPr>
                <w:sz w:val="28"/>
                <w:szCs w:val="28"/>
              </w:rPr>
              <w:t>117343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D65FB" w:rsidRPr="00377750" w:rsidRDefault="00DD65FB" w:rsidP="00BF4BA0">
            <w:pPr>
              <w:autoSpaceDE w:val="0"/>
              <w:autoSpaceDN w:val="0"/>
              <w:adjustRightInd w:val="0"/>
              <w:ind w:left="821" w:hanging="821"/>
              <w:jc w:val="right"/>
              <w:rPr>
                <w:sz w:val="28"/>
                <w:szCs w:val="28"/>
              </w:rPr>
            </w:pPr>
            <w:r w:rsidRPr="00377750">
              <w:rPr>
                <w:sz w:val="28"/>
                <w:szCs w:val="28"/>
              </w:rPr>
              <w:t>193517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DD65FB" w:rsidRPr="00377750" w:rsidRDefault="00DD65FB" w:rsidP="00BF4BA0">
            <w:pPr>
              <w:autoSpaceDE w:val="0"/>
              <w:autoSpaceDN w:val="0"/>
              <w:adjustRightInd w:val="0"/>
              <w:ind w:left="821" w:hanging="821"/>
              <w:jc w:val="right"/>
              <w:rPr>
                <w:sz w:val="28"/>
                <w:szCs w:val="28"/>
                <w:highlight w:val="yellow"/>
              </w:rPr>
            </w:pPr>
            <w:r w:rsidRPr="00377750">
              <w:rPr>
                <w:sz w:val="28"/>
                <w:szCs w:val="28"/>
                <w:highlight w:val="yellow"/>
              </w:rPr>
              <w:t>310860</w:t>
            </w:r>
          </w:p>
        </w:tc>
      </w:tr>
      <w:tr w:rsidR="00DD65FB" w:rsidRPr="00377750" w:rsidTr="00BF4BA0">
        <w:trPr>
          <w:trHeight w:val="348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DD65FB" w:rsidRPr="00377750" w:rsidRDefault="00DD65FB" w:rsidP="00BF4BA0">
            <w:pPr>
              <w:autoSpaceDE w:val="0"/>
              <w:autoSpaceDN w:val="0"/>
              <w:adjustRightInd w:val="0"/>
              <w:ind w:left="821" w:hanging="821"/>
              <w:jc w:val="right"/>
              <w:rPr>
                <w:b/>
                <w:bCs/>
                <w:sz w:val="28"/>
                <w:szCs w:val="28"/>
              </w:rPr>
            </w:pPr>
            <w:r w:rsidRPr="00377750">
              <w:rPr>
                <w:b/>
                <w:bCs/>
                <w:sz w:val="28"/>
                <w:szCs w:val="28"/>
              </w:rPr>
              <w:t>Moyenne / an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DD65FB" w:rsidRPr="00377750" w:rsidRDefault="00DD65FB" w:rsidP="00BF4BA0">
            <w:pPr>
              <w:autoSpaceDE w:val="0"/>
              <w:autoSpaceDN w:val="0"/>
              <w:adjustRightInd w:val="0"/>
              <w:ind w:left="821" w:hanging="821"/>
              <w:jc w:val="right"/>
              <w:rPr>
                <w:sz w:val="28"/>
                <w:szCs w:val="28"/>
              </w:rPr>
            </w:pPr>
            <w:r w:rsidRPr="00377750">
              <w:rPr>
                <w:sz w:val="28"/>
                <w:szCs w:val="28"/>
              </w:rPr>
              <w:t>16763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D65FB" w:rsidRPr="00377750" w:rsidRDefault="00DD65FB" w:rsidP="00BF4BA0">
            <w:pPr>
              <w:autoSpaceDE w:val="0"/>
              <w:autoSpaceDN w:val="0"/>
              <w:adjustRightInd w:val="0"/>
              <w:ind w:left="821" w:hanging="821"/>
              <w:jc w:val="right"/>
              <w:rPr>
                <w:sz w:val="28"/>
                <w:szCs w:val="28"/>
              </w:rPr>
            </w:pPr>
            <w:r w:rsidRPr="00377750">
              <w:rPr>
                <w:sz w:val="28"/>
                <w:szCs w:val="28"/>
              </w:rPr>
              <w:t>27645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DD65FB" w:rsidRPr="00377750" w:rsidRDefault="00DD65FB" w:rsidP="00BF4BA0">
            <w:pPr>
              <w:autoSpaceDE w:val="0"/>
              <w:autoSpaceDN w:val="0"/>
              <w:adjustRightInd w:val="0"/>
              <w:ind w:left="821" w:hanging="821"/>
              <w:jc w:val="right"/>
              <w:rPr>
                <w:sz w:val="28"/>
                <w:szCs w:val="28"/>
              </w:rPr>
            </w:pPr>
            <w:r w:rsidRPr="00377750">
              <w:rPr>
                <w:sz w:val="28"/>
                <w:szCs w:val="28"/>
              </w:rPr>
              <w:t>44409</w:t>
            </w:r>
          </w:p>
        </w:tc>
      </w:tr>
      <w:tr w:rsidR="00DD65FB" w:rsidRPr="00377750" w:rsidTr="00BF4BA0">
        <w:trPr>
          <w:trHeight w:val="348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DD65FB" w:rsidRPr="00377750" w:rsidRDefault="00DD65FB" w:rsidP="00BF4BA0">
            <w:pPr>
              <w:autoSpaceDE w:val="0"/>
              <w:autoSpaceDN w:val="0"/>
              <w:adjustRightInd w:val="0"/>
              <w:ind w:left="821" w:hanging="821"/>
              <w:jc w:val="right"/>
              <w:rPr>
                <w:b/>
                <w:bCs/>
                <w:sz w:val="28"/>
                <w:szCs w:val="28"/>
              </w:rPr>
            </w:pPr>
            <w:r w:rsidRPr="00377750">
              <w:rPr>
                <w:b/>
                <w:bCs/>
                <w:sz w:val="28"/>
                <w:szCs w:val="28"/>
              </w:rPr>
              <w:t>Log, adaptés(5%)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DD65FB" w:rsidRPr="00377750" w:rsidRDefault="00DD65FB" w:rsidP="00BF4BA0">
            <w:pPr>
              <w:autoSpaceDE w:val="0"/>
              <w:autoSpaceDN w:val="0"/>
              <w:adjustRightInd w:val="0"/>
              <w:ind w:left="821" w:hanging="821"/>
              <w:jc w:val="right"/>
              <w:rPr>
                <w:sz w:val="28"/>
                <w:szCs w:val="28"/>
              </w:rPr>
            </w:pPr>
            <w:r w:rsidRPr="00377750">
              <w:rPr>
                <w:sz w:val="28"/>
                <w:szCs w:val="28"/>
              </w:rPr>
              <w:t>838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D65FB" w:rsidRPr="00377750" w:rsidRDefault="00DD65FB" w:rsidP="00BF4BA0">
            <w:pPr>
              <w:autoSpaceDE w:val="0"/>
              <w:autoSpaceDN w:val="0"/>
              <w:adjustRightInd w:val="0"/>
              <w:ind w:left="821" w:hanging="821"/>
              <w:jc w:val="right"/>
              <w:rPr>
                <w:sz w:val="28"/>
                <w:szCs w:val="28"/>
              </w:rPr>
            </w:pPr>
            <w:r w:rsidRPr="00377750">
              <w:rPr>
                <w:sz w:val="28"/>
                <w:szCs w:val="28"/>
              </w:rPr>
              <w:t>1382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DD65FB" w:rsidRPr="00377750" w:rsidRDefault="00DD65FB" w:rsidP="00BF4BA0">
            <w:pPr>
              <w:autoSpaceDE w:val="0"/>
              <w:autoSpaceDN w:val="0"/>
              <w:adjustRightInd w:val="0"/>
              <w:ind w:left="821" w:hanging="821"/>
              <w:jc w:val="right"/>
              <w:rPr>
                <w:sz w:val="28"/>
                <w:szCs w:val="28"/>
              </w:rPr>
            </w:pPr>
            <w:r w:rsidRPr="00377750">
              <w:rPr>
                <w:sz w:val="28"/>
                <w:szCs w:val="28"/>
              </w:rPr>
              <w:t>2220</w:t>
            </w:r>
          </w:p>
        </w:tc>
      </w:tr>
      <w:tr w:rsidR="00DD65FB" w:rsidRPr="00377750" w:rsidTr="00BF4BA0">
        <w:trPr>
          <w:trHeight w:val="348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DD65FB" w:rsidRPr="00377750" w:rsidRDefault="00DD65FB" w:rsidP="00BF4BA0">
            <w:pPr>
              <w:autoSpaceDE w:val="0"/>
              <w:autoSpaceDN w:val="0"/>
              <w:adjustRightInd w:val="0"/>
              <w:ind w:left="821" w:hanging="821"/>
              <w:jc w:val="right"/>
              <w:rPr>
                <w:b/>
                <w:bCs/>
                <w:sz w:val="28"/>
                <w:szCs w:val="28"/>
              </w:rPr>
            </w:pPr>
            <w:r w:rsidRPr="00377750">
              <w:rPr>
                <w:b/>
                <w:bCs/>
                <w:sz w:val="28"/>
                <w:szCs w:val="28"/>
              </w:rPr>
              <w:t>Moy / an / département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DD65FB" w:rsidRPr="00377750" w:rsidRDefault="00DD65FB" w:rsidP="00BF4BA0">
            <w:pPr>
              <w:autoSpaceDE w:val="0"/>
              <w:autoSpaceDN w:val="0"/>
              <w:adjustRightInd w:val="0"/>
              <w:ind w:left="821" w:hanging="821"/>
              <w:jc w:val="right"/>
              <w:rPr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377750">
              <w:rPr>
                <w:b/>
                <w:bCs/>
                <w:color w:val="FF0000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D65FB" w:rsidRPr="00377750" w:rsidRDefault="00DD65FB" w:rsidP="00BF4BA0">
            <w:pPr>
              <w:autoSpaceDE w:val="0"/>
              <w:autoSpaceDN w:val="0"/>
              <w:adjustRightInd w:val="0"/>
              <w:ind w:left="821" w:hanging="821"/>
              <w:jc w:val="right"/>
              <w:rPr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377750">
              <w:rPr>
                <w:b/>
                <w:bCs/>
                <w:color w:val="FF0000"/>
                <w:sz w:val="28"/>
                <w:szCs w:val="28"/>
                <w:highlight w:val="yellow"/>
              </w:rPr>
              <w:t>15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DD65FB" w:rsidRPr="00377750" w:rsidRDefault="00DD65FB" w:rsidP="00BF4BA0">
            <w:pPr>
              <w:autoSpaceDE w:val="0"/>
              <w:autoSpaceDN w:val="0"/>
              <w:adjustRightInd w:val="0"/>
              <w:ind w:left="821" w:hanging="821"/>
              <w:jc w:val="right"/>
              <w:rPr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377750">
              <w:rPr>
                <w:b/>
                <w:bCs/>
                <w:color w:val="FF0000"/>
                <w:sz w:val="28"/>
                <w:szCs w:val="28"/>
                <w:highlight w:val="yellow"/>
              </w:rPr>
              <w:t>23</w:t>
            </w:r>
          </w:p>
        </w:tc>
      </w:tr>
    </w:tbl>
    <w:p w:rsidR="00DD65FB" w:rsidRPr="002A1ED5" w:rsidRDefault="00DD65FB" w:rsidP="00495F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A1ED5">
        <w:rPr>
          <w:sz w:val="24"/>
          <w:szCs w:val="24"/>
        </w:rPr>
        <w:t>Prise en compte</w:t>
      </w:r>
      <w:r>
        <w:rPr>
          <w:sz w:val="24"/>
          <w:szCs w:val="24"/>
        </w:rPr>
        <w:t xml:space="preserve"> du taux de recouvrement construction/démolition.</w:t>
      </w:r>
    </w:p>
    <w:p w:rsidR="00DD65FB" w:rsidRPr="008E29D0" w:rsidRDefault="00DD65FB" w:rsidP="00AE118D">
      <w:pPr>
        <w:ind w:left="426"/>
        <w:rPr>
          <w:sz w:val="28"/>
          <w:szCs w:val="28"/>
        </w:rPr>
      </w:pPr>
    </w:p>
    <w:p w:rsidR="00DD65FB" w:rsidRPr="008E29D0" w:rsidRDefault="00DD65FB" w:rsidP="00AE118D">
      <w:pPr>
        <w:ind w:left="426"/>
        <w:rPr>
          <w:sz w:val="28"/>
          <w:szCs w:val="28"/>
        </w:rPr>
      </w:pPr>
    </w:p>
    <w:p w:rsidR="00DD65FB" w:rsidRPr="008E29D0" w:rsidRDefault="00DD65FB" w:rsidP="00E34D11">
      <w:pPr>
        <w:ind w:left="1134" w:firstLine="0"/>
        <w:rPr>
          <w:sz w:val="28"/>
          <w:szCs w:val="28"/>
        </w:rPr>
      </w:pPr>
      <w:r w:rsidRPr="008E29D0">
        <w:rPr>
          <w:sz w:val="28"/>
          <w:szCs w:val="28"/>
        </w:rPr>
        <w:t>Sachant que dans le contexte de raréfaction foncière</w:t>
      </w:r>
      <w:r>
        <w:rPr>
          <w:sz w:val="28"/>
          <w:szCs w:val="28"/>
        </w:rPr>
        <w:t>,</w:t>
      </w:r>
      <w:r w:rsidRPr="008E29D0">
        <w:rPr>
          <w:sz w:val="28"/>
          <w:szCs w:val="28"/>
        </w:rPr>
        <w:t xml:space="preserve"> la construction de 100 logements nouveaux conduit à la démolition de 40 logements anciens (les professionnels parlent de taux de recouvrement)</w:t>
      </w:r>
      <w:r>
        <w:rPr>
          <w:sz w:val="28"/>
          <w:szCs w:val="28"/>
        </w:rPr>
        <w:t>,</w:t>
      </w:r>
      <w:r w:rsidRPr="008E29D0">
        <w:rPr>
          <w:sz w:val="28"/>
          <w:szCs w:val="28"/>
        </w:rPr>
        <w:t xml:space="preserve"> on peut conclure ici</w:t>
      </w:r>
      <w:r>
        <w:rPr>
          <w:sz w:val="28"/>
          <w:szCs w:val="28"/>
        </w:rPr>
        <w:t>,</w:t>
      </w:r>
      <w:r w:rsidRPr="008E29D0">
        <w:rPr>
          <w:sz w:val="28"/>
          <w:szCs w:val="28"/>
        </w:rPr>
        <w:t xml:space="preserve"> de l’augmentation du stock de </w:t>
      </w:r>
      <w:r>
        <w:rPr>
          <w:sz w:val="28"/>
          <w:szCs w:val="28"/>
        </w:rPr>
        <w:t xml:space="preserve">186.516 </w:t>
      </w:r>
      <w:r w:rsidRPr="008E29D0">
        <w:rPr>
          <w:sz w:val="28"/>
          <w:szCs w:val="28"/>
        </w:rPr>
        <w:t>unités</w:t>
      </w:r>
      <w:r>
        <w:rPr>
          <w:sz w:val="28"/>
          <w:szCs w:val="28"/>
        </w:rPr>
        <w:t>,</w:t>
      </w:r>
      <w:r w:rsidRPr="008E29D0">
        <w:rPr>
          <w:sz w:val="28"/>
          <w:szCs w:val="28"/>
        </w:rPr>
        <w:t xml:space="preserve"> la </w:t>
      </w:r>
      <w:r>
        <w:rPr>
          <w:sz w:val="28"/>
          <w:szCs w:val="28"/>
        </w:rPr>
        <w:t xml:space="preserve">mise à disposition de 310.860 </w:t>
      </w:r>
      <w:r w:rsidRPr="008E29D0">
        <w:rPr>
          <w:sz w:val="28"/>
          <w:szCs w:val="28"/>
        </w:rPr>
        <w:t xml:space="preserve">appartements HLM nouveaux entre 2006 et 2013, soit une moyenne de </w:t>
      </w:r>
      <w:r>
        <w:rPr>
          <w:sz w:val="28"/>
          <w:szCs w:val="28"/>
        </w:rPr>
        <w:t xml:space="preserve">44.409 </w:t>
      </w:r>
      <w:r w:rsidRPr="008E29D0">
        <w:rPr>
          <w:sz w:val="28"/>
          <w:szCs w:val="28"/>
        </w:rPr>
        <w:t>logements</w:t>
      </w:r>
      <w:r>
        <w:rPr>
          <w:sz w:val="28"/>
          <w:szCs w:val="28"/>
        </w:rPr>
        <w:t xml:space="preserve"> HLM  </w:t>
      </w:r>
      <w:r w:rsidRPr="008E29D0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8E29D0">
        <w:rPr>
          <w:sz w:val="28"/>
          <w:szCs w:val="28"/>
        </w:rPr>
        <w:t>an.</w:t>
      </w:r>
    </w:p>
    <w:p w:rsidR="00DD65FB" w:rsidRPr="008E29D0" w:rsidRDefault="00DD65FB" w:rsidP="00E34D11">
      <w:pPr>
        <w:ind w:left="1134" w:firstLine="0"/>
        <w:rPr>
          <w:sz w:val="28"/>
          <w:szCs w:val="28"/>
        </w:rPr>
      </w:pPr>
      <w:r w:rsidRPr="008E29D0">
        <w:rPr>
          <w:sz w:val="28"/>
          <w:szCs w:val="28"/>
        </w:rPr>
        <w:t xml:space="preserve">C’est donc </w:t>
      </w:r>
      <w:r>
        <w:rPr>
          <w:sz w:val="28"/>
          <w:szCs w:val="28"/>
        </w:rPr>
        <w:t>le subventionnement, suivant le</w:t>
      </w:r>
      <w:r w:rsidRPr="008E29D0">
        <w:rPr>
          <w:sz w:val="28"/>
          <w:szCs w:val="28"/>
        </w:rPr>
        <w:t xml:space="preserve"> dispatching ciblé de 5% de ces derniers</w:t>
      </w:r>
      <w:r>
        <w:rPr>
          <w:sz w:val="28"/>
          <w:szCs w:val="28"/>
        </w:rPr>
        <w:t xml:space="preserve">, 2220, dits ’ </w:t>
      </w:r>
      <w:r w:rsidRPr="008E29D0">
        <w:rPr>
          <w:sz w:val="28"/>
          <w:szCs w:val="28"/>
        </w:rPr>
        <w:t>adaptés</w:t>
      </w:r>
      <w:r>
        <w:rPr>
          <w:sz w:val="28"/>
          <w:szCs w:val="28"/>
        </w:rPr>
        <w:t xml:space="preserve">, </w:t>
      </w:r>
      <w:r w:rsidRPr="008E29D0">
        <w:rPr>
          <w:sz w:val="28"/>
          <w:szCs w:val="28"/>
        </w:rPr>
        <w:t>dont il est question dans les projets de</w:t>
      </w:r>
      <w:r>
        <w:rPr>
          <w:sz w:val="28"/>
          <w:szCs w:val="28"/>
        </w:rPr>
        <w:t xml:space="preserve"> décret et d’arrêté</w:t>
      </w:r>
      <w:r w:rsidRPr="008E29D0">
        <w:rPr>
          <w:sz w:val="28"/>
          <w:szCs w:val="28"/>
        </w:rPr>
        <w:t xml:space="preserve"> sou</w:t>
      </w:r>
      <w:r>
        <w:rPr>
          <w:sz w:val="28"/>
          <w:szCs w:val="28"/>
        </w:rPr>
        <w:t xml:space="preserve">mis en septembre 2016 </w:t>
      </w:r>
      <w:r w:rsidRPr="008E29D0">
        <w:rPr>
          <w:sz w:val="28"/>
          <w:szCs w:val="28"/>
        </w:rPr>
        <w:t>à l’avis du CNCPH.</w:t>
      </w:r>
    </w:p>
    <w:p w:rsidR="00DD65FB" w:rsidRPr="008E29D0" w:rsidRDefault="00DD65FB" w:rsidP="00C02C95">
      <w:pPr>
        <w:ind w:left="1134"/>
        <w:rPr>
          <w:sz w:val="28"/>
          <w:szCs w:val="28"/>
        </w:rPr>
      </w:pPr>
    </w:p>
    <w:p w:rsidR="00DD65FB" w:rsidRDefault="00DD65FB" w:rsidP="00E34D11">
      <w:pPr>
        <w:ind w:left="1134" w:firstLine="0"/>
        <w:rPr>
          <w:sz w:val="28"/>
          <w:szCs w:val="28"/>
        </w:rPr>
      </w:pPr>
      <w:r w:rsidRPr="008E29D0">
        <w:rPr>
          <w:sz w:val="28"/>
          <w:szCs w:val="28"/>
        </w:rPr>
        <w:t>Si 5% de ces appartements sont ‘adaptés’</w:t>
      </w:r>
      <w:r>
        <w:rPr>
          <w:sz w:val="28"/>
          <w:szCs w:val="28"/>
        </w:rPr>
        <w:t>,</w:t>
      </w:r>
      <w:r w:rsidRPr="008E29D0">
        <w:rPr>
          <w:sz w:val="28"/>
          <w:szCs w:val="28"/>
        </w:rPr>
        <w:t xml:space="preserve"> il s’agira </w:t>
      </w:r>
      <w:r>
        <w:rPr>
          <w:sz w:val="28"/>
          <w:szCs w:val="28"/>
        </w:rPr>
        <w:t xml:space="preserve">au final </w:t>
      </w:r>
      <w:r w:rsidRPr="008E29D0">
        <w:rPr>
          <w:sz w:val="28"/>
          <w:szCs w:val="28"/>
        </w:rPr>
        <w:t>de  dispatcher</w:t>
      </w:r>
      <w:r>
        <w:rPr>
          <w:sz w:val="28"/>
          <w:szCs w:val="28"/>
        </w:rPr>
        <w:t xml:space="preserve">, annuellement et à l’échelon de la France métropolitaine, 2220 </w:t>
      </w:r>
      <w:r w:rsidRPr="008E29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appartements, </w:t>
      </w:r>
      <w:r w:rsidRPr="008E29D0">
        <w:rPr>
          <w:sz w:val="28"/>
          <w:szCs w:val="28"/>
        </w:rPr>
        <w:t xml:space="preserve">soit 23 appartements par département </w:t>
      </w:r>
      <w:r>
        <w:rPr>
          <w:sz w:val="28"/>
          <w:szCs w:val="28"/>
        </w:rPr>
        <w:t>ou 1 logement adapté pour 30.000 habitants par an !</w:t>
      </w:r>
    </w:p>
    <w:p w:rsidR="00DD65FB" w:rsidRDefault="00DD65FB" w:rsidP="00C02C95">
      <w:pPr>
        <w:ind w:left="1134"/>
        <w:rPr>
          <w:b/>
          <w:sz w:val="32"/>
          <w:szCs w:val="32"/>
        </w:rPr>
      </w:pPr>
    </w:p>
    <w:p w:rsidR="00DD65FB" w:rsidRPr="00AC70B4" w:rsidRDefault="00DD65FB" w:rsidP="00E34D11">
      <w:pPr>
        <w:ind w:left="1134" w:firstLine="0"/>
        <w:rPr>
          <w:b/>
          <w:sz w:val="32"/>
          <w:szCs w:val="32"/>
        </w:rPr>
      </w:pPr>
      <w:r w:rsidRPr="00AC70B4">
        <w:rPr>
          <w:b/>
          <w:sz w:val="32"/>
          <w:szCs w:val="32"/>
        </w:rPr>
        <w:t>Dans ces conditions</w:t>
      </w:r>
      <w:r>
        <w:rPr>
          <w:b/>
          <w:sz w:val="32"/>
          <w:szCs w:val="32"/>
        </w:rPr>
        <w:t>,</w:t>
      </w:r>
      <w:r w:rsidRPr="00AC70B4">
        <w:rPr>
          <w:b/>
          <w:sz w:val="32"/>
          <w:szCs w:val="32"/>
        </w:rPr>
        <w:t xml:space="preserve"> il y aurait </w:t>
      </w:r>
      <w:r>
        <w:rPr>
          <w:b/>
          <w:sz w:val="32"/>
          <w:szCs w:val="32"/>
        </w:rPr>
        <w:t xml:space="preserve">effectivement </w:t>
      </w:r>
      <w:r w:rsidRPr="00AC70B4">
        <w:rPr>
          <w:b/>
          <w:sz w:val="32"/>
          <w:szCs w:val="32"/>
        </w:rPr>
        <w:t>bien lieu et intérêt à prioriser leur attribution et apprendre aux demandeurs  à programmer et planifier leur perte d’autonomie ...</w:t>
      </w:r>
      <w:r>
        <w:rPr>
          <w:b/>
          <w:sz w:val="32"/>
          <w:szCs w:val="32"/>
        </w:rPr>
        <w:t> !</w:t>
      </w:r>
    </w:p>
    <w:p w:rsidR="00DD65FB" w:rsidRPr="008E29D0" w:rsidRDefault="00DD65FB" w:rsidP="00C02C95">
      <w:pPr>
        <w:ind w:left="1134"/>
        <w:rPr>
          <w:sz w:val="28"/>
          <w:szCs w:val="28"/>
        </w:rPr>
      </w:pPr>
    </w:p>
    <w:p w:rsidR="00DD65FB" w:rsidRDefault="00DD65FB" w:rsidP="00E34D11">
      <w:pPr>
        <w:ind w:left="1134" w:firstLine="0"/>
        <w:rPr>
          <w:sz w:val="28"/>
          <w:szCs w:val="28"/>
        </w:rPr>
      </w:pPr>
      <w:r w:rsidRPr="008E29D0">
        <w:rPr>
          <w:sz w:val="28"/>
          <w:szCs w:val="28"/>
        </w:rPr>
        <w:t>Plus sérieusement et bien au delà d</w:t>
      </w:r>
      <w:r>
        <w:rPr>
          <w:sz w:val="28"/>
          <w:szCs w:val="28"/>
        </w:rPr>
        <w:t>’ un quelconque taux</w:t>
      </w:r>
      <w:r w:rsidRPr="008E29D0">
        <w:rPr>
          <w:sz w:val="28"/>
          <w:szCs w:val="28"/>
        </w:rPr>
        <w:t>, ce</w:t>
      </w:r>
      <w:r>
        <w:rPr>
          <w:sz w:val="28"/>
          <w:szCs w:val="28"/>
        </w:rPr>
        <w:t>la démontre une fois de plus l’</w:t>
      </w:r>
      <w:r w:rsidRPr="008E29D0">
        <w:rPr>
          <w:sz w:val="28"/>
          <w:szCs w:val="28"/>
        </w:rPr>
        <w:t xml:space="preserve">illusion et les limites d’une politique de quotas de logements adaptés dont les auteurs de la loi du 30 juin 1975 avaient tirer les leçons en promouvant </w:t>
      </w:r>
      <w:r w:rsidRPr="00E34D11">
        <w:rPr>
          <w:b/>
          <w:sz w:val="28"/>
          <w:szCs w:val="28"/>
        </w:rPr>
        <w:t xml:space="preserve">le concept d’immeubles accessibles et d’appartements adaptables </w:t>
      </w:r>
      <w:r w:rsidRPr="008E29D0">
        <w:rPr>
          <w:sz w:val="28"/>
          <w:szCs w:val="28"/>
        </w:rPr>
        <w:t>inspiré des expériences anglo-saxonnes</w:t>
      </w:r>
      <w:r>
        <w:rPr>
          <w:sz w:val="28"/>
          <w:szCs w:val="28"/>
        </w:rPr>
        <w:t xml:space="preserve"> dont ils partageaient la pertinence.</w:t>
      </w:r>
    </w:p>
    <w:p w:rsidR="00DD65FB" w:rsidRDefault="00DD65FB" w:rsidP="00E34D11">
      <w:pPr>
        <w:ind w:left="1134" w:firstLine="0"/>
        <w:rPr>
          <w:sz w:val="28"/>
          <w:szCs w:val="28"/>
        </w:rPr>
      </w:pPr>
    </w:p>
    <w:p w:rsidR="00DD65FB" w:rsidRPr="008E29D0" w:rsidRDefault="00DD65FB" w:rsidP="00E34D11">
      <w:pPr>
        <w:ind w:left="1134" w:firstLine="0"/>
        <w:rPr>
          <w:sz w:val="28"/>
          <w:szCs w:val="28"/>
        </w:rPr>
      </w:pPr>
      <w:r>
        <w:rPr>
          <w:sz w:val="28"/>
          <w:szCs w:val="28"/>
        </w:rPr>
        <w:t>En effet :</w:t>
      </w:r>
    </w:p>
    <w:p w:rsidR="00DD65FB" w:rsidRPr="008E29D0" w:rsidRDefault="00DD65FB" w:rsidP="00E34D11">
      <w:pPr>
        <w:rPr>
          <w:sz w:val="28"/>
          <w:szCs w:val="28"/>
        </w:rPr>
      </w:pPr>
      <w:r>
        <w:rPr>
          <w:sz w:val="28"/>
          <w:szCs w:val="28"/>
        </w:rPr>
        <w:t xml:space="preserve">        -- </w:t>
      </w:r>
      <w:r w:rsidRPr="008E29D0">
        <w:rPr>
          <w:sz w:val="28"/>
          <w:szCs w:val="28"/>
        </w:rPr>
        <w:t xml:space="preserve">Comment déterminer le types de logements à construire, combien de studio, de T2, T3 ... </w:t>
      </w:r>
    </w:p>
    <w:p w:rsidR="00DD65FB" w:rsidRPr="008E29D0" w:rsidRDefault="00DD65FB" w:rsidP="00E34D11">
      <w:pPr>
        <w:rPr>
          <w:sz w:val="28"/>
          <w:szCs w:val="28"/>
        </w:rPr>
      </w:pPr>
      <w:r>
        <w:rPr>
          <w:sz w:val="28"/>
          <w:szCs w:val="28"/>
        </w:rPr>
        <w:t xml:space="preserve">        -- </w:t>
      </w:r>
      <w:r w:rsidRPr="008E29D0">
        <w:rPr>
          <w:sz w:val="28"/>
          <w:szCs w:val="28"/>
        </w:rPr>
        <w:t xml:space="preserve">Pour répondre aux besoins </w:t>
      </w:r>
      <w:r>
        <w:rPr>
          <w:sz w:val="28"/>
          <w:szCs w:val="28"/>
        </w:rPr>
        <w:t xml:space="preserve">spécifiques </w:t>
      </w:r>
      <w:r w:rsidRPr="008E29D0">
        <w:rPr>
          <w:sz w:val="28"/>
          <w:szCs w:val="28"/>
        </w:rPr>
        <w:t xml:space="preserve">d’un adulte ? d’un enfant ? </w:t>
      </w:r>
    </w:p>
    <w:p w:rsidR="00DD65FB" w:rsidRPr="008E29D0" w:rsidRDefault="00DD65FB" w:rsidP="00E34D11">
      <w:pPr>
        <w:rPr>
          <w:sz w:val="28"/>
          <w:szCs w:val="28"/>
        </w:rPr>
      </w:pPr>
      <w:r>
        <w:rPr>
          <w:sz w:val="28"/>
          <w:szCs w:val="28"/>
        </w:rPr>
        <w:t xml:space="preserve">        -- </w:t>
      </w:r>
      <w:r w:rsidRPr="008E29D0">
        <w:rPr>
          <w:sz w:val="28"/>
          <w:szCs w:val="28"/>
        </w:rPr>
        <w:t xml:space="preserve">Pour répondre à quelle forme de </w:t>
      </w:r>
      <w:r>
        <w:rPr>
          <w:sz w:val="28"/>
          <w:szCs w:val="28"/>
        </w:rPr>
        <w:t xml:space="preserve">« </w:t>
      </w:r>
      <w:r w:rsidRPr="008E29D0">
        <w:rPr>
          <w:sz w:val="28"/>
          <w:szCs w:val="28"/>
        </w:rPr>
        <w:t>handicap</w:t>
      </w:r>
      <w:r>
        <w:rPr>
          <w:sz w:val="28"/>
          <w:szCs w:val="28"/>
        </w:rPr>
        <w:t xml:space="preserve"> »</w:t>
      </w:r>
      <w:r w:rsidRPr="008E29D0">
        <w:rPr>
          <w:sz w:val="28"/>
          <w:szCs w:val="28"/>
        </w:rPr>
        <w:t> ?</w:t>
      </w:r>
    </w:p>
    <w:p w:rsidR="00DD65FB" w:rsidRDefault="00DD65FB" w:rsidP="00E34D11">
      <w:pPr>
        <w:ind w:left="1134" w:firstLine="0"/>
        <w:rPr>
          <w:sz w:val="28"/>
          <w:szCs w:val="28"/>
        </w:rPr>
      </w:pPr>
      <w:r>
        <w:rPr>
          <w:sz w:val="28"/>
          <w:szCs w:val="28"/>
        </w:rPr>
        <w:t xml:space="preserve">-- </w:t>
      </w:r>
      <w:r w:rsidRPr="008E29D0">
        <w:rPr>
          <w:sz w:val="28"/>
          <w:szCs w:val="28"/>
        </w:rPr>
        <w:t>Comment gérer les demandeurs en attente de solution durant l’élaboration et la construction d</w:t>
      </w:r>
      <w:r>
        <w:rPr>
          <w:sz w:val="28"/>
          <w:szCs w:val="28"/>
        </w:rPr>
        <w:t xml:space="preserve">’un </w:t>
      </w:r>
      <w:r w:rsidRPr="008E29D0">
        <w:rPr>
          <w:sz w:val="28"/>
          <w:szCs w:val="28"/>
        </w:rPr>
        <w:t xml:space="preserve">projet </w:t>
      </w:r>
      <w:r>
        <w:rPr>
          <w:sz w:val="28"/>
          <w:szCs w:val="28"/>
        </w:rPr>
        <w:t xml:space="preserve">immobilier </w:t>
      </w:r>
      <w:r w:rsidRPr="008E29D0">
        <w:rPr>
          <w:sz w:val="28"/>
          <w:szCs w:val="28"/>
        </w:rPr>
        <w:t>qui s’étend généralement sur plusieurs années</w:t>
      </w:r>
      <w:r>
        <w:rPr>
          <w:sz w:val="28"/>
          <w:szCs w:val="28"/>
        </w:rPr>
        <w:t> ?</w:t>
      </w:r>
    </w:p>
    <w:p w:rsidR="00DD65FB" w:rsidRDefault="00DD65FB" w:rsidP="00E34D11">
      <w:pPr>
        <w:rPr>
          <w:sz w:val="28"/>
          <w:szCs w:val="28"/>
        </w:rPr>
      </w:pPr>
      <w:r>
        <w:rPr>
          <w:sz w:val="28"/>
          <w:szCs w:val="28"/>
        </w:rPr>
        <w:t xml:space="preserve">       -- Comment répondre à la survenue impromptue d’une perte d’autonomie ?</w:t>
      </w:r>
    </w:p>
    <w:p w:rsidR="00DD65FB" w:rsidRDefault="00DD65FB" w:rsidP="00C02C95">
      <w:pPr>
        <w:ind w:left="1134"/>
        <w:rPr>
          <w:sz w:val="28"/>
          <w:szCs w:val="28"/>
        </w:rPr>
      </w:pPr>
    </w:p>
    <w:p w:rsidR="00DD65FB" w:rsidRDefault="00DD65FB" w:rsidP="00E34D11">
      <w:pPr>
        <w:ind w:left="708" w:firstLine="0"/>
        <w:rPr>
          <w:sz w:val="28"/>
          <w:szCs w:val="28"/>
        </w:rPr>
      </w:pPr>
      <w:r>
        <w:rPr>
          <w:sz w:val="28"/>
          <w:szCs w:val="28"/>
        </w:rPr>
        <w:t xml:space="preserve">     Contrairement aux idées préconçues, il faut le répéter, l’analyse de sa réglementation d’application  le démontre, la loi du  5 février 2005 n’a pas pour objectif </w:t>
      </w:r>
    </w:p>
    <w:p w:rsidR="00DD65FB" w:rsidRDefault="00DD65FB" w:rsidP="00FF6541">
      <w:pPr>
        <w:ind w:left="708" w:firstLine="0"/>
        <w:rPr>
          <w:sz w:val="28"/>
          <w:szCs w:val="28"/>
        </w:rPr>
      </w:pPr>
      <w:r>
        <w:rPr>
          <w:sz w:val="28"/>
          <w:szCs w:val="28"/>
        </w:rPr>
        <w:t xml:space="preserve">     de livrer des logements ‘adaptés’ aux personnes dites handicapées. </w:t>
      </w:r>
    </w:p>
    <w:p w:rsidR="00DD65FB" w:rsidRDefault="00DD65FB" w:rsidP="00FF6541">
      <w:pPr>
        <w:ind w:left="708" w:firstLine="0"/>
        <w:rPr>
          <w:sz w:val="28"/>
          <w:szCs w:val="28"/>
        </w:rPr>
      </w:pPr>
      <w:r>
        <w:rPr>
          <w:sz w:val="28"/>
          <w:szCs w:val="28"/>
        </w:rPr>
        <w:t xml:space="preserve">     Car aucune personne contrainte à se déplace en fauteuil roulant ne pourrait vivre pleinement et dignement dans un appartement familial répondant aux </w:t>
      </w:r>
    </w:p>
    <w:p w:rsidR="00DD65FB" w:rsidRDefault="00DD65FB" w:rsidP="00FF6541">
      <w:pPr>
        <w:ind w:left="708" w:firstLine="0"/>
        <w:rPr>
          <w:sz w:val="28"/>
          <w:szCs w:val="28"/>
        </w:rPr>
      </w:pPr>
      <w:r>
        <w:rPr>
          <w:sz w:val="28"/>
          <w:szCs w:val="28"/>
        </w:rPr>
        <w:t xml:space="preserve">     seules obligations du principe d’unité de vie requis. ..</w:t>
      </w:r>
    </w:p>
    <w:p w:rsidR="00DD65FB" w:rsidRDefault="00DD65FB" w:rsidP="00C02C95">
      <w:pPr>
        <w:ind w:left="1134"/>
        <w:rPr>
          <w:sz w:val="28"/>
          <w:szCs w:val="28"/>
        </w:rPr>
      </w:pPr>
    </w:p>
    <w:p w:rsidR="00DD65FB" w:rsidRDefault="00DD65FB" w:rsidP="00FF6541">
      <w:pPr>
        <w:ind w:left="708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02C95">
        <w:rPr>
          <w:sz w:val="28"/>
          <w:szCs w:val="28"/>
        </w:rPr>
        <w:t>En effet, aucun parent se déplaçant en fauteuil roulant, ne peut accéder aux chambres de ses enfants</w:t>
      </w:r>
      <w:r>
        <w:rPr>
          <w:sz w:val="28"/>
          <w:szCs w:val="28"/>
        </w:rPr>
        <w:t>,</w:t>
      </w:r>
      <w:r w:rsidRPr="00C02C95">
        <w:rPr>
          <w:sz w:val="28"/>
          <w:szCs w:val="28"/>
        </w:rPr>
        <w:t xml:space="preserve"> dès lors qu’une seule chambre de l’appartement </w:t>
      </w:r>
      <w:r>
        <w:rPr>
          <w:sz w:val="28"/>
          <w:szCs w:val="28"/>
        </w:rPr>
        <w:t>a</w:t>
      </w:r>
      <w:r w:rsidRPr="00C02C95">
        <w:rPr>
          <w:sz w:val="28"/>
          <w:szCs w:val="28"/>
        </w:rPr>
        <w:t xml:space="preserve"> </w:t>
      </w:r>
    </w:p>
    <w:p w:rsidR="00DD65FB" w:rsidRPr="00C02C95" w:rsidRDefault="00DD65FB" w:rsidP="00FF6541">
      <w:pPr>
        <w:ind w:left="708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02C95">
        <w:rPr>
          <w:sz w:val="28"/>
          <w:szCs w:val="28"/>
        </w:rPr>
        <w:t>l’obligation d’être, au sens premier du terme, accessible.</w:t>
      </w:r>
    </w:p>
    <w:p w:rsidR="00DD65FB" w:rsidRDefault="00DD65FB" w:rsidP="00FF654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02C95">
        <w:rPr>
          <w:sz w:val="28"/>
          <w:szCs w:val="28"/>
        </w:rPr>
        <w:t xml:space="preserve">Pour la même raison, dès lors que cette unique chambre ‘accessible’ est attribuée à un enfant </w:t>
      </w:r>
      <w:r>
        <w:rPr>
          <w:sz w:val="28"/>
          <w:szCs w:val="28"/>
        </w:rPr>
        <w:t xml:space="preserve">dit </w:t>
      </w:r>
      <w:r w:rsidRPr="00C02C95">
        <w:rPr>
          <w:sz w:val="28"/>
          <w:szCs w:val="28"/>
        </w:rPr>
        <w:t xml:space="preserve">en  situation de </w:t>
      </w:r>
      <w:r>
        <w:rPr>
          <w:sz w:val="28"/>
          <w:szCs w:val="28"/>
        </w:rPr>
        <w:t xml:space="preserve">handicap, ses parents devront </w:t>
      </w:r>
    </w:p>
    <w:p w:rsidR="00DD65FB" w:rsidRPr="00C02C95" w:rsidRDefault="00DD65FB" w:rsidP="00FF6541">
      <w:pPr>
        <w:rPr>
          <w:sz w:val="28"/>
          <w:szCs w:val="28"/>
        </w:rPr>
      </w:pPr>
      <w:r>
        <w:rPr>
          <w:sz w:val="28"/>
          <w:szCs w:val="28"/>
        </w:rPr>
        <w:t xml:space="preserve">      nécessairement trouver</w:t>
      </w:r>
      <w:r w:rsidRPr="00C02C95">
        <w:rPr>
          <w:sz w:val="28"/>
          <w:szCs w:val="28"/>
        </w:rPr>
        <w:t xml:space="preserve"> refuge dans une chambre conçue autour d’un couchage de ‘90’. </w:t>
      </w:r>
    </w:p>
    <w:p w:rsidR="00DD65FB" w:rsidRDefault="00DD65FB" w:rsidP="00FF654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D65FB" w:rsidRDefault="00DD65FB" w:rsidP="00FF6541">
      <w:pPr>
        <w:rPr>
          <w:sz w:val="28"/>
          <w:szCs w:val="28"/>
        </w:rPr>
      </w:pPr>
      <w:r>
        <w:rPr>
          <w:sz w:val="28"/>
          <w:szCs w:val="28"/>
        </w:rPr>
        <w:t xml:space="preserve">      Par ailleurs, e</w:t>
      </w:r>
      <w:r w:rsidRPr="00C02C95">
        <w:rPr>
          <w:sz w:val="28"/>
          <w:szCs w:val="28"/>
        </w:rPr>
        <w:t xml:space="preserve">st ce vivre dignement que de ne pouvoir accéder  au cabinet d’aisances  pour cause de portes et de couloir n’assurant pas les évolutions </w:t>
      </w:r>
    </w:p>
    <w:p w:rsidR="00DD65FB" w:rsidRDefault="00DD65FB" w:rsidP="00FF654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02C95">
        <w:rPr>
          <w:sz w:val="28"/>
          <w:szCs w:val="28"/>
        </w:rPr>
        <w:t>ordinaires d’un fauteuil roulant ?</w:t>
      </w:r>
      <w:r>
        <w:rPr>
          <w:sz w:val="28"/>
          <w:szCs w:val="28"/>
        </w:rPr>
        <w:t xml:space="preserve"> </w:t>
      </w:r>
    </w:p>
    <w:p w:rsidR="00DD65FB" w:rsidRDefault="00DD65FB" w:rsidP="00AE118D">
      <w:pPr>
        <w:ind w:left="426"/>
        <w:rPr>
          <w:sz w:val="28"/>
          <w:szCs w:val="28"/>
        </w:rPr>
      </w:pPr>
    </w:p>
    <w:p w:rsidR="00DD65FB" w:rsidRDefault="00DD65FB" w:rsidP="00AE118D">
      <w:pPr>
        <w:ind w:left="426"/>
        <w:rPr>
          <w:sz w:val="28"/>
          <w:szCs w:val="28"/>
        </w:rPr>
      </w:pPr>
    </w:p>
    <w:p w:rsidR="00DD65FB" w:rsidRDefault="00DD65FB" w:rsidP="00AE118D">
      <w:pPr>
        <w:ind w:left="426"/>
        <w:rPr>
          <w:b/>
          <w:sz w:val="28"/>
          <w:szCs w:val="28"/>
        </w:rPr>
      </w:pPr>
      <w:r w:rsidRPr="00E04DA3">
        <w:rPr>
          <w:b/>
          <w:sz w:val="28"/>
          <w:szCs w:val="28"/>
        </w:rPr>
        <w:t xml:space="preserve">La réalité est cruelle pour ceux qui veulent la masquer. Fort heureusement, l'analyse des statistiques permet souvent d'y voir plus clair pour </w:t>
      </w:r>
      <w:r>
        <w:rPr>
          <w:b/>
          <w:sz w:val="28"/>
          <w:szCs w:val="28"/>
        </w:rPr>
        <w:t xml:space="preserve"> </w:t>
      </w:r>
    </w:p>
    <w:p w:rsidR="00DD65FB" w:rsidRPr="00E04DA3" w:rsidRDefault="00DD65FB" w:rsidP="00AE118D">
      <w:pPr>
        <w:ind w:left="426"/>
        <w:rPr>
          <w:b/>
          <w:sz w:val="28"/>
          <w:szCs w:val="28"/>
        </w:rPr>
      </w:pPr>
      <w:r w:rsidRPr="00E04DA3">
        <w:rPr>
          <w:b/>
          <w:sz w:val="28"/>
          <w:szCs w:val="28"/>
        </w:rPr>
        <w:t>mettre à jour les petits arrangements entre amis !</w:t>
      </w:r>
    </w:p>
    <w:p w:rsidR="00DD65FB" w:rsidRDefault="00DD65FB" w:rsidP="00AE118D">
      <w:pPr>
        <w:ind w:left="426"/>
      </w:pPr>
    </w:p>
    <w:p w:rsidR="00DD65FB" w:rsidRDefault="00DD65FB" w:rsidP="00AE118D">
      <w:pPr>
        <w:ind w:left="426"/>
      </w:pPr>
    </w:p>
    <w:p w:rsidR="00DD65FB" w:rsidRDefault="00DD65FB" w:rsidP="00AE118D">
      <w:pPr>
        <w:ind w:left="426"/>
      </w:pPr>
    </w:p>
    <w:p w:rsidR="00DD65FB" w:rsidRDefault="00DD65FB"/>
    <w:p w:rsidR="00DD65FB" w:rsidRDefault="00DD65FB"/>
    <w:p w:rsidR="00DD65FB" w:rsidRDefault="00DD65FB"/>
    <w:p w:rsidR="00DD65FB" w:rsidRDefault="00DD65FB"/>
    <w:p w:rsidR="00DD65FB" w:rsidRDefault="00DD65FB"/>
    <w:p w:rsidR="00DD65FB" w:rsidRDefault="00DD65FB"/>
    <w:p w:rsidR="00DD65FB" w:rsidRDefault="00DD65FB"/>
    <w:p w:rsidR="00DD65FB" w:rsidRDefault="00DD65FB"/>
    <w:p w:rsidR="00DD65FB" w:rsidRDefault="00DD65FB"/>
    <w:p w:rsidR="00DD65FB" w:rsidRDefault="00DD65FB"/>
    <w:p w:rsidR="00DD65FB" w:rsidRDefault="00DD65FB"/>
    <w:p w:rsidR="00DD65FB" w:rsidRDefault="00DD65FB"/>
    <w:sectPr w:rsidR="00DD65FB" w:rsidSect="00E01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96A"/>
    <w:multiLevelType w:val="hybridMultilevel"/>
    <w:tmpl w:val="619AB80C"/>
    <w:lvl w:ilvl="0" w:tplc="DB74A2F6">
      <w:numFmt w:val="bullet"/>
      <w:lvlText w:val=""/>
      <w:lvlJc w:val="left"/>
      <w:pPr>
        <w:ind w:left="1353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BEC4B583-D3C5-4671-A84E-6655807B72C1}"/>
    <w:docVar w:name="dgnword-eventsink" w:val="29346280"/>
  </w:docVars>
  <w:rsids>
    <w:rsidRoot w:val="00877263"/>
    <w:rsid w:val="0001788C"/>
    <w:rsid w:val="000859C6"/>
    <w:rsid w:val="000A7FFA"/>
    <w:rsid w:val="000E612E"/>
    <w:rsid w:val="000E6AD0"/>
    <w:rsid w:val="00105639"/>
    <w:rsid w:val="001B1CC8"/>
    <w:rsid w:val="002072FA"/>
    <w:rsid w:val="00246DE1"/>
    <w:rsid w:val="002A1ED5"/>
    <w:rsid w:val="002B0761"/>
    <w:rsid w:val="002F1C02"/>
    <w:rsid w:val="00317623"/>
    <w:rsid w:val="0037329A"/>
    <w:rsid w:val="00377750"/>
    <w:rsid w:val="0043257F"/>
    <w:rsid w:val="00453553"/>
    <w:rsid w:val="00486716"/>
    <w:rsid w:val="0049274E"/>
    <w:rsid w:val="00495F43"/>
    <w:rsid w:val="00534441"/>
    <w:rsid w:val="005612A5"/>
    <w:rsid w:val="005D2A32"/>
    <w:rsid w:val="005F0058"/>
    <w:rsid w:val="00612610"/>
    <w:rsid w:val="0062468A"/>
    <w:rsid w:val="0065308D"/>
    <w:rsid w:val="006854A8"/>
    <w:rsid w:val="006A6F4C"/>
    <w:rsid w:val="00706699"/>
    <w:rsid w:val="007224B0"/>
    <w:rsid w:val="00877263"/>
    <w:rsid w:val="008E29D0"/>
    <w:rsid w:val="00AC70B4"/>
    <w:rsid w:val="00AE118D"/>
    <w:rsid w:val="00B73183"/>
    <w:rsid w:val="00BC72DE"/>
    <w:rsid w:val="00BF2E41"/>
    <w:rsid w:val="00BF4BA0"/>
    <w:rsid w:val="00C02C95"/>
    <w:rsid w:val="00C33CE4"/>
    <w:rsid w:val="00D45AF3"/>
    <w:rsid w:val="00D955D3"/>
    <w:rsid w:val="00DB1438"/>
    <w:rsid w:val="00DC5A6E"/>
    <w:rsid w:val="00DD208F"/>
    <w:rsid w:val="00DD65FB"/>
    <w:rsid w:val="00E01EBF"/>
    <w:rsid w:val="00E04DA3"/>
    <w:rsid w:val="00E34D11"/>
    <w:rsid w:val="00EB2725"/>
    <w:rsid w:val="00EC647E"/>
    <w:rsid w:val="00F71B2B"/>
    <w:rsid w:val="00FA05E0"/>
    <w:rsid w:val="00FF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BF"/>
    <w:pPr>
      <w:ind w:firstLine="567"/>
    </w:pPr>
    <w:rPr>
      <w:color w:val="000000"/>
      <w:sz w:val="40"/>
      <w:szCs w:val="4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1E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1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2</Pages>
  <Words>626</Words>
  <Characters>3446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Participation de l’ ANPIHM à la commission accessibilité du CNCPH du 15 septembre 2016</dc:title>
  <dc:subject/>
  <dc:creator>Christian</dc:creator>
  <cp:keywords/>
  <dc:description/>
  <cp:lastModifiedBy>AR</cp:lastModifiedBy>
  <cp:revision>3</cp:revision>
  <dcterms:created xsi:type="dcterms:W3CDTF">2016-10-17T14:24:00Z</dcterms:created>
  <dcterms:modified xsi:type="dcterms:W3CDTF">2016-10-17T14:50:00Z</dcterms:modified>
</cp:coreProperties>
</file>